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53C6F">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110千伏黄金围输变电工程（电气分册）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监理）</w:t>
      </w:r>
    </w:p>
    <w:bookmarkEnd w:id="0"/>
    <w:p w14:paraId="3E02E432">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E1032C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826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298BD8C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3D4B323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7F2E43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2847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ABC797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2C72DE2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03A43FD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广供电基〔2024〕216号</w:t>
            </w:r>
          </w:p>
        </w:tc>
      </w:tr>
      <w:tr w14:paraId="37F8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CBE2A4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1A370C2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3FA8256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穗发改核准〔2023〕17号</w:t>
            </w:r>
          </w:p>
        </w:tc>
      </w:tr>
      <w:tr w14:paraId="1296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0F58D9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4565308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1551BC7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广供电资〔2025〕26号</w:t>
            </w:r>
          </w:p>
        </w:tc>
      </w:tr>
      <w:tr w14:paraId="28F2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8058EC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136A41D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4543C35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2612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14F48D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405E56D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5AA05DD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14:paraId="78A9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4B71A6B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08B19BD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0B84B4B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14:paraId="7401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4A179E4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1F11889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603AE6A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合同签订之日起至2026年12月31日，实际工期以开工报告、竣工报告为准。</w:t>
            </w:r>
          </w:p>
        </w:tc>
      </w:tr>
    </w:tbl>
    <w:p w14:paraId="1B9BFB2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299ACBA1">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1E2F3979">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※变电部分</w:t>
      </w:r>
    </w:p>
    <w:p w14:paraId="3144A7C7">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1、110kV黄金围变电站工程（电气分册）：本期新建63MVA主变压器2台，110kV出线2回，10kV出线2×16回，每台主变10kV侧各安装2组6MVar低压并联电容器和1组6MVar低压并联电抗器。远期新建63MVA主变压器3台，110kV出线3回，10kV出线3×16回，每台主变10kV侧各安装2组6MVar低压并联电容器及1组6MVar低压并联电抗器。</w:t>
      </w:r>
    </w:p>
    <w:p w14:paraId="184927A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2、220kV石井站扩建工程：本期在220kV石井站扩建110kV电缆出线间隔1个。</w:t>
      </w:r>
    </w:p>
    <w:p w14:paraId="32FA281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3、110kV滘心站扩建工程：本期T接滘心站110kV #2 GIS现有备用电缆筒。</w:t>
      </w:r>
    </w:p>
    <w:p w14:paraId="46E38EC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b w:val="0"/>
          <w:bCs w:val="0"/>
          <w:color w:val="auto"/>
          <w:sz w:val="24"/>
          <w:lang w:val="en-US" w:eastAsia="zh-CN"/>
        </w:rPr>
      </w:pPr>
      <w:r>
        <w:rPr>
          <w:rFonts w:hint="eastAsia" w:ascii="Times New Roman" w:hAnsi="Times New Roman" w:eastAsia="宋体" w:cstheme="minorEastAsia"/>
          <w:color w:val="auto"/>
          <w:sz w:val="24"/>
          <w:lang w:val="en-US" w:eastAsia="zh-CN"/>
        </w:rPr>
        <w:t>4、220kV罗涌站扩建工程：本期220kV罗涌站改造间隔内导线</w:t>
      </w:r>
      <w:r>
        <w:rPr>
          <w:rFonts w:hint="default" w:ascii="Times New Roman" w:hAnsi="Times New Roman" w:eastAsia="宋体"/>
          <w:b w:val="0"/>
          <w:bCs w:val="0"/>
          <w:color w:val="auto"/>
          <w:sz w:val="24"/>
          <w:lang w:val="en-US" w:eastAsia="zh-CN"/>
        </w:rPr>
        <w:t>。</w:t>
      </w:r>
    </w:p>
    <w:p w14:paraId="06536A8E">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※线路部分</w:t>
      </w:r>
    </w:p>
    <w:p w14:paraId="5CAF2DB4">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1、110kV黄金围T接罗石线电缆线路工程：新建单回电缆线路路径长度约为 2.04 千米，电缆型号：YJLW03-Z-64/110-1×1200（隧道外）、YJLW02-Z 64/110-1×1200（隧道内）。</w:t>
      </w:r>
    </w:p>
    <w:p w14:paraId="3E86ED78">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2、110kV黄金围T规划石井～滘心电缆线路工程：新建单回电缆线路路径长度约 0.79 千米，电缆型号：YJLW03-Z-64/110-1×1200。</w:t>
      </w:r>
    </w:p>
    <w:p w14:paraId="6EF84591">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3、110kV石井～滘心电缆线路工程：新建单回电缆线路路径长度约1.339 千米，YJLW03-Z-64/110-1×1200（隧道外）、YJLW02-Z64/110-1×1200（隧道内）。</w:t>
      </w:r>
    </w:p>
    <w:p w14:paraId="27575A87">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4、110kV罗石线增容改造工程：110 千伏罗石线罗涌站～#24+1 塔段导线增容,导线采用 1×JNRLH3/LBY-200/45 铝包殷钢芯超耐热铝合金绞线，更换段路径长度约1×4.65千米。</w:t>
      </w:r>
    </w:p>
    <w:p w14:paraId="5D2F2506">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Theme="minorEastAsia" w:cstheme="minorEastAsia"/>
          <w:bCs/>
          <w:sz w:val="24"/>
          <w:szCs w:val="24"/>
          <w:highlight w:val="none"/>
        </w:rPr>
      </w:pPr>
      <w:r>
        <w:rPr>
          <w:rFonts w:hint="eastAsia" w:ascii="Times New Roman" w:hAnsi="Times New Roman" w:eastAsia="宋体" w:cstheme="minorEastAsia"/>
          <w:bCs/>
          <w:sz w:val="24"/>
          <w:szCs w:val="24"/>
          <w:highlight w:val="none"/>
        </w:rPr>
        <w:t xml:space="preserve">5、110kV罗槎线增容改造工程：更换 110 千伏罗槎线罗涌站 ～ 槎 头 站 段 线 路 路 径 总 长 4.48 千 米 ， 架 空 导 线 采用1×JNRLH3/LBY-200/45 铝包殷钢芯超耐热铝合金绞线。 </w:t>
      </w:r>
      <w:r>
        <w:rPr>
          <w:rFonts w:hint="eastAsia" w:ascii="Times New Roman" w:hAnsi="Times New Roman" w:eastAsiaTheme="minorEastAsia" w:cstheme="minorEastAsia"/>
          <w:bCs/>
          <w:sz w:val="24"/>
          <w:szCs w:val="24"/>
          <w:highlight w:val="none"/>
        </w:rPr>
        <w:t xml:space="preserve"> </w:t>
      </w:r>
    </w:p>
    <w:p w14:paraId="076CBD93">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Theme="minorEastAsia" w:cstheme="minorEastAsia"/>
          <w:b/>
          <w:sz w:val="24"/>
          <w:szCs w:val="24"/>
          <w:highlight w:val="none"/>
        </w:rPr>
      </w:pPr>
      <w:r>
        <w:rPr>
          <w:rFonts w:hint="eastAsia" w:ascii="Times New Roman" w:hAnsi="Times New Roman" w:eastAsiaTheme="minorEastAsia" w:cstheme="minorEastAsia"/>
          <w:b/>
          <w:sz w:val="24"/>
          <w:szCs w:val="24"/>
          <w:highlight w:val="none"/>
        </w:rPr>
        <w:t>※</w:t>
      </w:r>
      <w:r>
        <w:rPr>
          <w:rFonts w:hint="eastAsia" w:ascii="Times New Roman" w:hAnsi="Times New Roman" w:eastAsiaTheme="minorEastAsia" w:cstheme="minorEastAsia"/>
          <w:b/>
          <w:sz w:val="24"/>
          <w:szCs w:val="24"/>
          <w:highlight w:val="none"/>
          <w:lang w:eastAsia="zh-CN"/>
        </w:rPr>
        <w:t>通信</w:t>
      </w:r>
      <w:r>
        <w:rPr>
          <w:rFonts w:hint="eastAsia" w:ascii="Times New Roman" w:hAnsi="Times New Roman" w:eastAsiaTheme="minorEastAsia" w:cstheme="minorEastAsia"/>
          <w:b/>
          <w:sz w:val="24"/>
          <w:szCs w:val="24"/>
          <w:highlight w:val="none"/>
        </w:rPr>
        <w:t>部分</w:t>
      </w:r>
    </w:p>
    <w:p w14:paraId="1F68307F">
      <w:pPr>
        <w:pStyle w:val="5"/>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1、110kV黄金围变电站通信设备工程：110kV黄金围变电站站内新装通信设备及对侧加装通信设备等。</w:t>
      </w:r>
    </w:p>
    <w:p w14:paraId="26C6A0E0">
      <w:pPr>
        <w:pStyle w:val="5"/>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2、110kV黄金围T接罗石线电缆线路工程（配套光缆部分）：新建 1 条 48 芯光缆进石井站，形成黄金围-石井 48 芯直达光缆路由，光缆路径长约为2.22 千米。</w:t>
      </w:r>
    </w:p>
    <w:p w14:paraId="05123BA6">
      <w:pPr>
        <w:pStyle w:val="5"/>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3、110kV黄金围T规划石井～滘心电缆线路工程（配套光缆部分）：新建1条48芯光缆进滘心站，形成黄金围-滘心 48 芯直达光缆路由，光缆路径长约为0.94千米。</w:t>
      </w:r>
    </w:p>
    <w:p w14:paraId="7712CC87">
      <w:pPr>
        <w:pStyle w:val="5"/>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color w:val="auto"/>
          <w:sz w:val="24"/>
          <w:lang w:val="en-US" w:eastAsia="zh-CN"/>
        </w:rPr>
      </w:pPr>
      <w:r>
        <w:rPr>
          <w:rFonts w:hint="eastAsia" w:ascii="Times New Roman" w:hAnsi="Times New Roman" w:eastAsiaTheme="minorEastAsia" w:cstheme="minorEastAsia"/>
          <w:color w:val="auto"/>
          <w:sz w:val="24"/>
          <w:lang w:val="en-US" w:eastAsia="zh-CN"/>
        </w:rPr>
        <w:t>4、110kV石井～滘心电缆线路工程（配套光缆部分）：新建1条48芯光缆，形成滘心-石井48芯直达光缆路由，光缆路径长约为1.87千米</w:t>
      </w:r>
      <w:r>
        <w:rPr>
          <w:rFonts w:hint="eastAsia" w:ascii="Times New Roman" w:hAnsi="Times New Roman"/>
          <w:color w:val="auto"/>
          <w:sz w:val="24"/>
          <w:lang w:val="en-US" w:eastAsia="zh-CN"/>
        </w:rPr>
        <w:t>。</w:t>
      </w:r>
    </w:p>
    <w:p w14:paraId="5001C69B">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具体建设规模以审定版施工图纸为准。</w:t>
      </w:r>
    </w:p>
    <w:p w14:paraId="1FA72356">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1BD9167B">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eastAsia="宋体"/>
          <w:color w:val="auto"/>
          <w:sz w:val="24"/>
          <w:szCs w:val="24"/>
          <w:highlight w:val="none"/>
          <w:u w:val="single"/>
          <w:lang w:val="en-US" w:eastAsia="zh-CN"/>
        </w:rPr>
        <w:t>施工准备（含三通一平）、施工（含通信）、竣工结算、缺陷责任期、电子化移交的全过程监理，以及初步设计概算（或施工图预算）中监理计费范围以外但与工程相关的监理工作。按照建设单位要求使用工程信息管理系统</w:t>
      </w:r>
      <w:r>
        <w:rPr>
          <w:rFonts w:hint="eastAsia" w:hAnsi="宋体" w:eastAsia="宋体"/>
          <w:color w:val="auto"/>
          <w:sz w:val="24"/>
          <w:lang w:val="en-US" w:eastAsia="zh-CN"/>
        </w:rPr>
        <w:t>。</w:t>
      </w:r>
    </w:p>
    <w:p w14:paraId="5DE00F6B">
      <w:pPr>
        <w:rPr>
          <w:rFonts w:hint="eastAsia"/>
          <w:highlight w:val="none"/>
          <w:lang w:val="en-US" w:eastAsia="zh-CN"/>
        </w:rPr>
      </w:pPr>
    </w:p>
    <w:p w14:paraId="7D51C7BF">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4"/>
        <w:tblpPr w:leftFromText="180" w:rightFromText="180" w:vertAnchor="text" w:horzAnchor="page" w:tblpX="1199"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669"/>
        <w:gridCol w:w="1904"/>
        <w:gridCol w:w="1258"/>
        <w:gridCol w:w="1535"/>
        <w:gridCol w:w="657"/>
      </w:tblGrid>
      <w:tr w14:paraId="5C6A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bottom w:val="single" w:color="auto" w:sz="4" w:space="0"/>
            </w:tcBorders>
            <w:noWrap w:val="0"/>
            <w:vAlign w:val="center"/>
          </w:tcPr>
          <w:p w14:paraId="1ABEFC3E">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3669" w:type="dxa"/>
            <w:tcBorders>
              <w:bottom w:val="single" w:color="auto" w:sz="4" w:space="0"/>
            </w:tcBorders>
            <w:noWrap w:val="0"/>
            <w:vAlign w:val="center"/>
          </w:tcPr>
          <w:p w14:paraId="1673A021">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904" w:type="dxa"/>
            <w:noWrap w:val="0"/>
            <w:vAlign w:val="top"/>
          </w:tcPr>
          <w:p w14:paraId="38E688BE">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258" w:type="dxa"/>
            <w:tcBorders>
              <w:bottom w:val="single" w:color="auto" w:sz="4" w:space="0"/>
            </w:tcBorders>
            <w:noWrap w:val="0"/>
            <w:vAlign w:val="center"/>
          </w:tcPr>
          <w:p w14:paraId="31AD92A3">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35" w:type="dxa"/>
            <w:tcBorders>
              <w:bottom w:val="single" w:color="auto" w:sz="4" w:space="0"/>
            </w:tcBorders>
            <w:noWrap w:val="0"/>
            <w:vAlign w:val="top"/>
          </w:tcPr>
          <w:p w14:paraId="2E3040EE">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657" w:type="dxa"/>
            <w:tcBorders>
              <w:bottom w:val="single" w:color="auto" w:sz="4" w:space="0"/>
            </w:tcBorders>
            <w:noWrap w:val="0"/>
            <w:vAlign w:val="center"/>
          </w:tcPr>
          <w:p w14:paraId="1759FF82">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14D3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612B59C5">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一</w:t>
            </w:r>
          </w:p>
        </w:tc>
        <w:tc>
          <w:tcPr>
            <w:tcW w:w="3669" w:type="dxa"/>
            <w:tcBorders>
              <w:top w:val="single" w:color="auto" w:sz="4" w:space="0"/>
              <w:bottom w:val="single" w:color="auto" w:sz="4" w:space="0"/>
            </w:tcBorders>
            <w:noWrap w:val="0"/>
            <w:vAlign w:val="center"/>
          </w:tcPr>
          <w:p w14:paraId="5B8883DC">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变电工程</w:t>
            </w:r>
          </w:p>
        </w:tc>
        <w:tc>
          <w:tcPr>
            <w:tcW w:w="1904" w:type="dxa"/>
            <w:noWrap w:val="0"/>
            <w:vAlign w:val="center"/>
          </w:tcPr>
          <w:p w14:paraId="35E38676">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529014.69 </w:t>
            </w:r>
          </w:p>
        </w:tc>
        <w:tc>
          <w:tcPr>
            <w:tcW w:w="1258" w:type="dxa"/>
            <w:vMerge w:val="restart"/>
            <w:tcBorders>
              <w:top w:val="single" w:color="auto" w:sz="4" w:space="0"/>
            </w:tcBorders>
            <w:noWrap w:val="0"/>
            <w:vAlign w:val="center"/>
          </w:tcPr>
          <w:p w14:paraId="2F6D8784">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35" w:type="dxa"/>
            <w:tcBorders>
              <w:top w:val="single" w:color="auto" w:sz="4" w:space="0"/>
            </w:tcBorders>
            <w:noWrap w:val="0"/>
            <w:vAlign w:val="top"/>
          </w:tcPr>
          <w:p w14:paraId="1460E9AF">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513260DA">
            <w:pPr>
              <w:tabs>
                <w:tab w:val="left" w:pos="900"/>
              </w:tabs>
              <w:snapToGrid w:val="0"/>
              <w:spacing w:before="60" w:after="120"/>
              <w:ind w:right="-24"/>
              <w:jc w:val="center"/>
              <w:rPr>
                <w:rFonts w:ascii="宋体" w:hAnsi="宋体"/>
                <w:color w:val="auto"/>
                <w:highlight w:val="none"/>
              </w:rPr>
            </w:pPr>
          </w:p>
        </w:tc>
      </w:tr>
      <w:tr w14:paraId="7617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2D06BFA2">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669" w:type="dxa"/>
            <w:tcBorders>
              <w:top w:val="single" w:color="auto" w:sz="4" w:space="0"/>
              <w:bottom w:val="single" w:color="auto" w:sz="4" w:space="0"/>
            </w:tcBorders>
            <w:noWrap w:val="0"/>
            <w:vAlign w:val="center"/>
          </w:tcPr>
          <w:p w14:paraId="050B08F0">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110kV黄金围变电站工程（电气分册）</w:t>
            </w:r>
          </w:p>
        </w:tc>
        <w:tc>
          <w:tcPr>
            <w:tcW w:w="1904" w:type="dxa"/>
            <w:noWrap w:val="0"/>
            <w:vAlign w:val="center"/>
          </w:tcPr>
          <w:p w14:paraId="723702D4">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467887.52 </w:t>
            </w:r>
          </w:p>
        </w:tc>
        <w:tc>
          <w:tcPr>
            <w:tcW w:w="1258" w:type="dxa"/>
            <w:vMerge w:val="continue"/>
            <w:noWrap w:val="0"/>
            <w:vAlign w:val="center"/>
          </w:tcPr>
          <w:p w14:paraId="5D2F37DB">
            <w:pPr>
              <w:tabs>
                <w:tab w:val="left" w:pos="900"/>
              </w:tabs>
              <w:snapToGrid w:val="0"/>
              <w:spacing w:before="60" w:after="120"/>
              <w:ind w:right="-24"/>
              <w:jc w:val="center"/>
              <w:rPr>
                <w:rFonts w:ascii="宋体" w:hAnsi="宋体"/>
                <w:color w:val="auto"/>
                <w:highlight w:val="none"/>
              </w:rPr>
            </w:pPr>
          </w:p>
        </w:tc>
        <w:tc>
          <w:tcPr>
            <w:tcW w:w="1535" w:type="dxa"/>
            <w:tcBorders>
              <w:top w:val="single" w:color="auto" w:sz="4" w:space="0"/>
            </w:tcBorders>
            <w:noWrap w:val="0"/>
            <w:vAlign w:val="top"/>
          </w:tcPr>
          <w:p w14:paraId="1C3CA109">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61D6F4A5">
            <w:pPr>
              <w:tabs>
                <w:tab w:val="left" w:pos="900"/>
              </w:tabs>
              <w:snapToGrid w:val="0"/>
              <w:spacing w:before="60" w:after="120"/>
              <w:ind w:right="-24"/>
              <w:jc w:val="center"/>
              <w:rPr>
                <w:rFonts w:ascii="宋体" w:hAnsi="宋体"/>
                <w:color w:val="auto"/>
                <w:highlight w:val="none"/>
              </w:rPr>
            </w:pPr>
          </w:p>
        </w:tc>
      </w:tr>
      <w:tr w14:paraId="3D1C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1A988601">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3669" w:type="dxa"/>
            <w:tcBorders>
              <w:top w:val="single" w:color="auto" w:sz="4" w:space="0"/>
              <w:bottom w:val="single" w:color="auto" w:sz="4" w:space="0"/>
            </w:tcBorders>
            <w:noWrap w:val="0"/>
            <w:vAlign w:val="center"/>
          </w:tcPr>
          <w:p w14:paraId="23ECF6C5">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220kV石井站扩建工程</w:t>
            </w:r>
          </w:p>
        </w:tc>
        <w:tc>
          <w:tcPr>
            <w:tcW w:w="1904" w:type="dxa"/>
            <w:noWrap w:val="0"/>
            <w:vAlign w:val="center"/>
          </w:tcPr>
          <w:p w14:paraId="7A5DA1E1">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53592.93 </w:t>
            </w:r>
          </w:p>
        </w:tc>
        <w:tc>
          <w:tcPr>
            <w:tcW w:w="1258" w:type="dxa"/>
            <w:vMerge w:val="continue"/>
            <w:noWrap w:val="0"/>
            <w:vAlign w:val="center"/>
          </w:tcPr>
          <w:p w14:paraId="420947FB">
            <w:pPr>
              <w:tabs>
                <w:tab w:val="left" w:pos="900"/>
              </w:tabs>
              <w:snapToGrid w:val="0"/>
              <w:spacing w:before="60" w:after="120"/>
              <w:ind w:right="-24"/>
              <w:jc w:val="center"/>
              <w:rPr>
                <w:rFonts w:ascii="宋体" w:hAnsi="宋体"/>
                <w:color w:val="auto"/>
                <w:highlight w:val="none"/>
              </w:rPr>
            </w:pPr>
          </w:p>
        </w:tc>
        <w:tc>
          <w:tcPr>
            <w:tcW w:w="1535" w:type="dxa"/>
            <w:tcBorders>
              <w:top w:val="single" w:color="auto" w:sz="4" w:space="0"/>
            </w:tcBorders>
            <w:noWrap w:val="0"/>
            <w:vAlign w:val="top"/>
          </w:tcPr>
          <w:p w14:paraId="757F5849">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181537C1">
            <w:pPr>
              <w:tabs>
                <w:tab w:val="left" w:pos="900"/>
              </w:tabs>
              <w:snapToGrid w:val="0"/>
              <w:spacing w:before="60" w:after="120"/>
              <w:ind w:right="-24"/>
              <w:jc w:val="center"/>
              <w:rPr>
                <w:rFonts w:ascii="宋体" w:hAnsi="宋体"/>
                <w:color w:val="auto"/>
                <w:highlight w:val="none"/>
              </w:rPr>
            </w:pPr>
          </w:p>
        </w:tc>
      </w:tr>
      <w:tr w14:paraId="2ACA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05229AF4">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3669" w:type="dxa"/>
            <w:tcBorders>
              <w:top w:val="single" w:color="auto" w:sz="4" w:space="0"/>
              <w:bottom w:val="single" w:color="auto" w:sz="4" w:space="0"/>
            </w:tcBorders>
            <w:noWrap w:val="0"/>
            <w:vAlign w:val="center"/>
          </w:tcPr>
          <w:p w14:paraId="0DE0A993">
            <w:pPr>
              <w:keepNext w:val="0"/>
              <w:keepLines w:val="0"/>
              <w:widowControl/>
              <w:suppressLineNumbers w:val="0"/>
              <w:jc w:val="center"/>
              <w:textAlignment w:val="center"/>
              <w:rPr>
                <w:rFonts w:hint="default" w:ascii="宋体" w:hAnsi="宋体" w:eastAsia="宋体" w:cs="宋体"/>
                <w:b w:val="0"/>
                <w:bCs/>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110kV滘心站扩建工程</w:t>
            </w:r>
          </w:p>
        </w:tc>
        <w:tc>
          <w:tcPr>
            <w:tcW w:w="1904" w:type="dxa"/>
            <w:noWrap w:val="0"/>
            <w:vAlign w:val="center"/>
          </w:tcPr>
          <w:p w14:paraId="4CEAC038">
            <w:pPr>
              <w:keepNext w:val="0"/>
              <w:keepLines w:val="0"/>
              <w:widowControl/>
              <w:suppressLineNumbers w:val="0"/>
              <w:jc w:val="center"/>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7295.74 </w:t>
            </w:r>
          </w:p>
        </w:tc>
        <w:tc>
          <w:tcPr>
            <w:tcW w:w="1258" w:type="dxa"/>
            <w:vMerge w:val="continue"/>
            <w:noWrap w:val="0"/>
            <w:vAlign w:val="center"/>
          </w:tcPr>
          <w:p w14:paraId="1119E7CF">
            <w:pPr>
              <w:tabs>
                <w:tab w:val="left" w:pos="900"/>
              </w:tabs>
              <w:snapToGrid w:val="0"/>
              <w:spacing w:before="60" w:after="120"/>
              <w:ind w:right="-24"/>
              <w:jc w:val="center"/>
              <w:rPr>
                <w:rFonts w:ascii="宋体" w:hAnsi="宋体"/>
                <w:color w:val="auto"/>
                <w:highlight w:val="none"/>
              </w:rPr>
            </w:pPr>
          </w:p>
        </w:tc>
        <w:tc>
          <w:tcPr>
            <w:tcW w:w="1535" w:type="dxa"/>
            <w:noWrap w:val="0"/>
            <w:vAlign w:val="top"/>
          </w:tcPr>
          <w:p w14:paraId="17F5E974">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370F280D">
            <w:pPr>
              <w:tabs>
                <w:tab w:val="left" w:pos="900"/>
              </w:tabs>
              <w:snapToGrid w:val="0"/>
              <w:spacing w:before="60" w:after="120"/>
              <w:ind w:right="-24"/>
              <w:jc w:val="center"/>
              <w:rPr>
                <w:rFonts w:ascii="宋体" w:hAnsi="宋体"/>
                <w:color w:val="auto"/>
                <w:highlight w:val="none"/>
              </w:rPr>
            </w:pPr>
          </w:p>
        </w:tc>
      </w:tr>
      <w:tr w14:paraId="0CF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0D09CE39">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4</w:t>
            </w:r>
          </w:p>
        </w:tc>
        <w:tc>
          <w:tcPr>
            <w:tcW w:w="3669" w:type="dxa"/>
            <w:tcBorders>
              <w:top w:val="single" w:color="auto" w:sz="4" w:space="0"/>
              <w:bottom w:val="single" w:color="auto" w:sz="4" w:space="0"/>
            </w:tcBorders>
            <w:noWrap w:val="0"/>
            <w:vAlign w:val="center"/>
          </w:tcPr>
          <w:p w14:paraId="6CC9C140">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220kV罗涌站扩建工程</w:t>
            </w:r>
          </w:p>
        </w:tc>
        <w:tc>
          <w:tcPr>
            <w:tcW w:w="1904" w:type="dxa"/>
            <w:noWrap w:val="0"/>
            <w:vAlign w:val="center"/>
          </w:tcPr>
          <w:p w14:paraId="79185092">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238.50 </w:t>
            </w:r>
          </w:p>
        </w:tc>
        <w:tc>
          <w:tcPr>
            <w:tcW w:w="1258" w:type="dxa"/>
            <w:vMerge w:val="continue"/>
            <w:noWrap w:val="0"/>
            <w:vAlign w:val="center"/>
          </w:tcPr>
          <w:p w14:paraId="04979B51">
            <w:pPr>
              <w:tabs>
                <w:tab w:val="left" w:pos="900"/>
              </w:tabs>
              <w:snapToGrid w:val="0"/>
              <w:spacing w:before="60" w:after="120"/>
              <w:ind w:right="-24"/>
              <w:jc w:val="center"/>
              <w:rPr>
                <w:rFonts w:ascii="宋体" w:hAnsi="宋体"/>
                <w:color w:val="auto"/>
                <w:highlight w:val="none"/>
              </w:rPr>
            </w:pPr>
          </w:p>
        </w:tc>
        <w:tc>
          <w:tcPr>
            <w:tcW w:w="1535" w:type="dxa"/>
            <w:noWrap w:val="0"/>
            <w:vAlign w:val="top"/>
          </w:tcPr>
          <w:p w14:paraId="3663A6B4">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19284D39">
            <w:pPr>
              <w:tabs>
                <w:tab w:val="left" w:pos="900"/>
              </w:tabs>
              <w:snapToGrid w:val="0"/>
              <w:spacing w:before="60" w:after="120"/>
              <w:ind w:right="-24"/>
              <w:jc w:val="center"/>
              <w:rPr>
                <w:rFonts w:ascii="宋体" w:hAnsi="宋体"/>
                <w:color w:val="auto"/>
                <w:highlight w:val="none"/>
              </w:rPr>
            </w:pPr>
          </w:p>
        </w:tc>
      </w:tr>
      <w:tr w14:paraId="7CFF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02076F73">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二</w:t>
            </w:r>
          </w:p>
        </w:tc>
        <w:tc>
          <w:tcPr>
            <w:tcW w:w="3669" w:type="dxa"/>
            <w:tcBorders>
              <w:top w:val="single" w:color="auto" w:sz="4" w:space="0"/>
              <w:bottom w:val="single" w:color="auto" w:sz="4" w:space="0"/>
            </w:tcBorders>
            <w:noWrap w:val="0"/>
            <w:vAlign w:val="center"/>
          </w:tcPr>
          <w:p w14:paraId="7322A3C0">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b/>
                <w:bCs/>
                <w:i w:val="0"/>
                <w:iCs w:val="0"/>
                <w:color w:val="000000"/>
                <w:kern w:val="0"/>
                <w:sz w:val="21"/>
                <w:szCs w:val="21"/>
                <w:u w:val="none"/>
                <w:lang w:val="en-US" w:eastAsia="zh-CN" w:bidi="ar"/>
              </w:rPr>
              <w:t>线路工程</w:t>
            </w:r>
          </w:p>
        </w:tc>
        <w:tc>
          <w:tcPr>
            <w:tcW w:w="1904" w:type="dxa"/>
            <w:noWrap w:val="0"/>
            <w:vAlign w:val="center"/>
          </w:tcPr>
          <w:p w14:paraId="51CD1D9C">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324112.59 </w:t>
            </w:r>
          </w:p>
        </w:tc>
        <w:tc>
          <w:tcPr>
            <w:tcW w:w="1258" w:type="dxa"/>
            <w:vMerge w:val="continue"/>
            <w:noWrap w:val="0"/>
            <w:vAlign w:val="center"/>
          </w:tcPr>
          <w:p w14:paraId="5E7D5087">
            <w:pPr>
              <w:tabs>
                <w:tab w:val="left" w:pos="900"/>
              </w:tabs>
              <w:snapToGrid w:val="0"/>
              <w:spacing w:before="60" w:after="120"/>
              <w:ind w:right="-24"/>
              <w:jc w:val="center"/>
              <w:rPr>
                <w:rFonts w:ascii="宋体" w:hAnsi="宋体"/>
                <w:color w:val="auto"/>
                <w:highlight w:val="none"/>
              </w:rPr>
            </w:pPr>
          </w:p>
        </w:tc>
        <w:tc>
          <w:tcPr>
            <w:tcW w:w="1535" w:type="dxa"/>
            <w:noWrap w:val="0"/>
            <w:vAlign w:val="top"/>
          </w:tcPr>
          <w:p w14:paraId="1D41C9F8">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64421D14">
            <w:pPr>
              <w:tabs>
                <w:tab w:val="left" w:pos="900"/>
              </w:tabs>
              <w:snapToGrid w:val="0"/>
              <w:spacing w:before="60" w:after="120"/>
              <w:ind w:right="-24"/>
              <w:jc w:val="center"/>
              <w:rPr>
                <w:rFonts w:ascii="宋体" w:hAnsi="宋体"/>
                <w:color w:val="auto"/>
                <w:highlight w:val="none"/>
              </w:rPr>
            </w:pPr>
          </w:p>
        </w:tc>
      </w:tr>
      <w:tr w14:paraId="034D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5E402F09">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669" w:type="dxa"/>
            <w:tcBorders>
              <w:top w:val="single" w:color="auto" w:sz="4" w:space="0"/>
              <w:bottom w:val="single" w:color="auto" w:sz="4" w:space="0"/>
            </w:tcBorders>
            <w:noWrap w:val="0"/>
            <w:vAlign w:val="center"/>
          </w:tcPr>
          <w:p w14:paraId="7C37D05D">
            <w:pPr>
              <w:keepNext w:val="0"/>
              <w:keepLines w:val="0"/>
              <w:widowControl/>
              <w:suppressLineNumbers w:val="0"/>
              <w:jc w:val="center"/>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110kV黄金围T接罗石线电缆线路工程</w:t>
            </w:r>
          </w:p>
        </w:tc>
        <w:tc>
          <w:tcPr>
            <w:tcW w:w="1904" w:type="dxa"/>
            <w:noWrap w:val="0"/>
            <w:vAlign w:val="center"/>
          </w:tcPr>
          <w:p w14:paraId="2F6C0D63">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150985.65 </w:t>
            </w:r>
          </w:p>
        </w:tc>
        <w:tc>
          <w:tcPr>
            <w:tcW w:w="1258" w:type="dxa"/>
            <w:vMerge w:val="continue"/>
            <w:noWrap w:val="0"/>
            <w:vAlign w:val="center"/>
          </w:tcPr>
          <w:p w14:paraId="0A268A9B">
            <w:pPr>
              <w:tabs>
                <w:tab w:val="left" w:pos="900"/>
              </w:tabs>
              <w:snapToGrid w:val="0"/>
              <w:spacing w:before="60" w:after="120"/>
              <w:ind w:right="-24"/>
              <w:jc w:val="center"/>
              <w:rPr>
                <w:rFonts w:ascii="宋体" w:hAnsi="宋体"/>
                <w:color w:val="auto"/>
                <w:highlight w:val="none"/>
              </w:rPr>
            </w:pPr>
          </w:p>
        </w:tc>
        <w:tc>
          <w:tcPr>
            <w:tcW w:w="1535" w:type="dxa"/>
            <w:noWrap w:val="0"/>
            <w:vAlign w:val="top"/>
          </w:tcPr>
          <w:p w14:paraId="4725383E">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5696E480">
            <w:pPr>
              <w:tabs>
                <w:tab w:val="left" w:pos="900"/>
              </w:tabs>
              <w:snapToGrid w:val="0"/>
              <w:spacing w:before="60" w:after="120"/>
              <w:ind w:right="-24"/>
              <w:jc w:val="center"/>
              <w:rPr>
                <w:rFonts w:ascii="宋体" w:hAnsi="宋体"/>
                <w:color w:val="auto"/>
                <w:highlight w:val="none"/>
              </w:rPr>
            </w:pPr>
          </w:p>
        </w:tc>
      </w:tr>
      <w:tr w14:paraId="383C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nil"/>
            </w:tcBorders>
            <w:noWrap w:val="0"/>
            <w:vAlign w:val="center"/>
          </w:tcPr>
          <w:p w14:paraId="635C8DBA">
            <w:pPr>
              <w:keepNext w:val="0"/>
              <w:keepLines w:val="0"/>
              <w:widowControl/>
              <w:suppressLineNumbers w:val="0"/>
              <w:jc w:val="center"/>
              <w:textAlignment w:val="center"/>
              <w:rPr>
                <w:rFonts w:hint="eastAsia" w:ascii="宋体" w:hAnsi="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2</w:t>
            </w:r>
          </w:p>
        </w:tc>
        <w:tc>
          <w:tcPr>
            <w:tcW w:w="3669" w:type="dxa"/>
            <w:tcBorders>
              <w:top w:val="single" w:color="auto" w:sz="4" w:space="0"/>
              <w:bottom w:val="nil"/>
            </w:tcBorders>
            <w:noWrap w:val="0"/>
            <w:vAlign w:val="center"/>
          </w:tcPr>
          <w:p w14:paraId="3FD743E1">
            <w:pPr>
              <w:keepNext w:val="0"/>
              <w:keepLines w:val="0"/>
              <w:widowControl/>
              <w:suppressLineNumbers w:val="0"/>
              <w:jc w:val="center"/>
              <w:textAlignment w:val="center"/>
              <w:rPr>
                <w:rStyle w:val="19"/>
                <w:rFonts w:hint="eastAsia" w:eastAsia="宋体"/>
                <w:b/>
                <w:bCs/>
                <w:color w:val="auto"/>
                <w:sz w:val="21"/>
                <w:szCs w:val="21"/>
                <w:highlight w:val="none"/>
                <w:lang w:eastAsia="zh-CN" w:bidi="ar"/>
              </w:rPr>
            </w:pPr>
            <w:r>
              <w:rPr>
                <w:rFonts w:hint="eastAsia" w:ascii="宋体" w:hAnsi="宋体" w:eastAsia="宋体" w:cs="宋体"/>
                <w:i w:val="0"/>
                <w:iCs w:val="0"/>
                <w:color w:val="000000"/>
                <w:kern w:val="0"/>
                <w:sz w:val="21"/>
                <w:szCs w:val="21"/>
                <w:u w:val="none"/>
                <w:lang w:val="en-US" w:eastAsia="zh-CN" w:bidi="ar"/>
              </w:rPr>
              <w:t>110kV黄金围T规划石井～滘心电缆线路工程</w:t>
            </w:r>
          </w:p>
        </w:tc>
        <w:tc>
          <w:tcPr>
            <w:tcW w:w="1904" w:type="dxa"/>
            <w:tcBorders>
              <w:bottom w:val="single" w:color="auto" w:sz="4" w:space="0"/>
            </w:tcBorders>
            <w:noWrap w:val="0"/>
            <w:vAlign w:val="center"/>
          </w:tcPr>
          <w:p w14:paraId="7D81DB4A">
            <w:pPr>
              <w:keepNext w:val="0"/>
              <w:keepLines w:val="0"/>
              <w:widowControl/>
              <w:suppressLineNumbers w:val="0"/>
              <w:jc w:val="center"/>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13369.65 </w:t>
            </w:r>
          </w:p>
        </w:tc>
        <w:tc>
          <w:tcPr>
            <w:tcW w:w="1258" w:type="dxa"/>
            <w:vMerge w:val="continue"/>
            <w:noWrap w:val="0"/>
            <w:vAlign w:val="center"/>
          </w:tcPr>
          <w:p w14:paraId="03FCD7F0">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024F75E2">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nil"/>
            </w:tcBorders>
            <w:noWrap w:val="0"/>
            <w:vAlign w:val="center"/>
          </w:tcPr>
          <w:p w14:paraId="368172BF">
            <w:pPr>
              <w:tabs>
                <w:tab w:val="left" w:pos="900"/>
              </w:tabs>
              <w:snapToGrid w:val="0"/>
              <w:spacing w:before="60" w:after="120"/>
              <w:ind w:right="-24"/>
              <w:jc w:val="center"/>
              <w:rPr>
                <w:rFonts w:ascii="宋体" w:hAnsi="宋体"/>
                <w:color w:val="auto"/>
                <w:highlight w:val="none"/>
              </w:rPr>
            </w:pPr>
          </w:p>
        </w:tc>
      </w:tr>
      <w:tr w14:paraId="6F42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nil"/>
            </w:tcBorders>
            <w:noWrap w:val="0"/>
            <w:vAlign w:val="center"/>
          </w:tcPr>
          <w:p w14:paraId="37DF5337">
            <w:pPr>
              <w:keepNext w:val="0"/>
              <w:keepLines w:val="0"/>
              <w:widowControl/>
              <w:suppressLineNumbers w:val="0"/>
              <w:jc w:val="center"/>
              <w:textAlignment w:val="center"/>
              <w:rPr>
                <w:rFonts w:hint="eastAsia" w:ascii="宋体" w:hAnsi="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3</w:t>
            </w:r>
          </w:p>
        </w:tc>
        <w:tc>
          <w:tcPr>
            <w:tcW w:w="3669" w:type="dxa"/>
            <w:tcBorders>
              <w:top w:val="single" w:color="auto" w:sz="4" w:space="0"/>
              <w:bottom w:val="nil"/>
            </w:tcBorders>
            <w:noWrap w:val="0"/>
            <w:vAlign w:val="center"/>
          </w:tcPr>
          <w:p w14:paraId="6B00F6D3">
            <w:pPr>
              <w:keepNext w:val="0"/>
              <w:keepLines w:val="0"/>
              <w:widowControl/>
              <w:suppressLineNumbers w:val="0"/>
              <w:jc w:val="center"/>
              <w:textAlignment w:val="center"/>
              <w:rPr>
                <w:rStyle w:val="19"/>
                <w:rFonts w:hint="eastAsia" w:eastAsia="宋体"/>
                <w:b/>
                <w:bCs/>
                <w:color w:val="auto"/>
                <w:sz w:val="21"/>
                <w:szCs w:val="21"/>
                <w:highlight w:val="none"/>
                <w:lang w:eastAsia="zh-CN" w:bidi="ar"/>
              </w:rPr>
            </w:pPr>
            <w:r>
              <w:rPr>
                <w:rFonts w:hint="eastAsia" w:ascii="宋体" w:hAnsi="宋体" w:eastAsia="宋体" w:cs="宋体"/>
                <w:i w:val="0"/>
                <w:iCs w:val="0"/>
                <w:color w:val="000000"/>
                <w:kern w:val="0"/>
                <w:sz w:val="21"/>
                <w:szCs w:val="21"/>
                <w:u w:val="none"/>
                <w:lang w:val="en-US" w:eastAsia="zh-CN" w:bidi="ar"/>
              </w:rPr>
              <w:t>110kV石井～滘心电缆线路工程</w:t>
            </w:r>
          </w:p>
        </w:tc>
        <w:tc>
          <w:tcPr>
            <w:tcW w:w="1904" w:type="dxa"/>
            <w:tcBorders>
              <w:bottom w:val="single" w:color="auto" w:sz="4" w:space="0"/>
            </w:tcBorders>
            <w:noWrap w:val="0"/>
            <w:vAlign w:val="center"/>
          </w:tcPr>
          <w:p w14:paraId="5E181DF8">
            <w:pPr>
              <w:keepNext w:val="0"/>
              <w:keepLines w:val="0"/>
              <w:widowControl/>
              <w:suppressLineNumbers w:val="0"/>
              <w:jc w:val="center"/>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18893.29 </w:t>
            </w:r>
          </w:p>
        </w:tc>
        <w:tc>
          <w:tcPr>
            <w:tcW w:w="1258" w:type="dxa"/>
            <w:vMerge w:val="continue"/>
            <w:noWrap w:val="0"/>
            <w:vAlign w:val="center"/>
          </w:tcPr>
          <w:p w14:paraId="5167A96A">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3CCD8781">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nil"/>
            </w:tcBorders>
            <w:noWrap w:val="0"/>
            <w:vAlign w:val="center"/>
          </w:tcPr>
          <w:p w14:paraId="12F1CD34">
            <w:pPr>
              <w:tabs>
                <w:tab w:val="left" w:pos="900"/>
              </w:tabs>
              <w:snapToGrid w:val="0"/>
              <w:spacing w:before="60" w:after="120"/>
              <w:ind w:right="-24"/>
              <w:jc w:val="center"/>
              <w:rPr>
                <w:rFonts w:ascii="宋体" w:hAnsi="宋体"/>
                <w:color w:val="auto"/>
                <w:highlight w:val="none"/>
              </w:rPr>
            </w:pPr>
          </w:p>
        </w:tc>
      </w:tr>
      <w:tr w14:paraId="161B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nil"/>
            </w:tcBorders>
            <w:noWrap w:val="0"/>
            <w:vAlign w:val="center"/>
          </w:tcPr>
          <w:p w14:paraId="0CD5DFFE">
            <w:pPr>
              <w:keepNext w:val="0"/>
              <w:keepLines w:val="0"/>
              <w:widowControl/>
              <w:suppressLineNumbers w:val="0"/>
              <w:jc w:val="center"/>
              <w:textAlignment w:val="center"/>
              <w:rPr>
                <w:rFonts w:hint="eastAsia" w:ascii="宋体" w:hAnsi="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4</w:t>
            </w:r>
          </w:p>
        </w:tc>
        <w:tc>
          <w:tcPr>
            <w:tcW w:w="3669" w:type="dxa"/>
            <w:tcBorders>
              <w:top w:val="single" w:color="auto" w:sz="4" w:space="0"/>
              <w:bottom w:val="nil"/>
            </w:tcBorders>
            <w:noWrap w:val="0"/>
            <w:vAlign w:val="center"/>
          </w:tcPr>
          <w:p w14:paraId="4632BF16">
            <w:pPr>
              <w:keepNext w:val="0"/>
              <w:keepLines w:val="0"/>
              <w:widowControl/>
              <w:suppressLineNumbers w:val="0"/>
              <w:jc w:val="center"/>
              <w:textAlignment w:val="center"/>
              <w:rPr>
                <w:rStyle w:val="19"/>
                <w:rFonts w:hint="eastAsia" w:eastAsia="宋体"/>
                <w:b/>
                <w:bCs/>
                <w:color w:val="auto"/>
                <w:sz w:val="21"/>
                <w:szCs w:val="21"/>
                <w:highlight w:val="none"/>
                <w:lang w:eastAsia="zh-CN" w:bidi="ar"/>
              </w:rPr>
            </w:pPr>
            <w:r>
              <w:rPr>
                <w:rFonts w:hint="eastAsia" w:ascii="宋体" w:hAnsi="宋体" w:eastAsia="宋体" w:cs="宋体"/>
                <w:i w:val="0"/>
                <w:iCs w:val="0"/>
                <w:color w:val="000000"/>
                <w:kern w:val="0"/>
                <w:sz w:val="21"/>
                <w:szCs w:val="21"/>
                <w:u w:val="none"/>
                <w:lang w:val="en-US" w:eastAsia="zh-CN" w:bidi="ar"/>
              </w:rPr>
              <w:t>110kV罗石线增容改造工程</w:t>
            </w:r>
          </w:p>
        </w:tc>
        <w:tc>
          <w:tcPr>
            <w:tcW w:w="1904" w:type="dxa"/>
            <w:tcBorders>
              <w:bottom w:val="single" w:color="auto" w:sz="4" w:space="0"/>
            </w:tcBorders>
            <w:noWrap w:val="0"/>
            <w:vAlign w:val="center"/>
          </w:tcPr>
          <w:p w14:paraId="3F241BB5">
            <w:pPr>
              <w:keepNext w:val="0"/>
              <w:keepLines w:val="0"/>
              <w:widowControl/>
              <w:suppressLineNumbers w:val="0"/>
              <w:jc w:val="center"/>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70432.00 </w:t>
            </w:r>
          </w:p>
        </w:tc>
        <w:tc>
          <w:tcPr>
            <w:tcW w:w="1258" w:type="dxa"/>
            <w:vMerge w:val="continue"/>
            <w:noWrap w:val="0"/>
            <w:vAlign w:val="center"/>
          </w:tcPr>
          <w:p w14:paraId="2B46B356">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631BD4F2">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nil"/>
            </w:tcBorders>
            <w:noWrap w:val="0"/>
            <w:vAlign w:val="center"/>
          </w:tcPr>
          <w:p w14:paraId="44E46354">
            <w:pPr>
              <w:tabs>
                <w:tab w:val="left" w:pos="900"/>
              </w:tabs>
              <w:snapToGrid w:val="0"/>
              <w:spacing w:before="60" w:after="120"/>
              <w:ind w:right="-24"/>
              <w:jc w:val="center"/>
              <w:rPr>
                <w:rFonts w:ascii="宋体" w:hAnsi="宋体"/>
                <w:color w:val="auto"/>
                <w:highlight w:val="none"/>
              </w:rPr>
            </w:pPr>
          </w:p>
        </w:tc>
      </w:tr>
      <w:tr w14:paraId="307D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nil"/>
            </w:tcBorders>
            <w:noWrap w:val="0"/>
            <w:vAlign w:val="center"/>
          </w:tcPr>
          <w:p w14:paraId="0060FC44">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5</w:t>
            </w:r>
          </w:p>
        </w:tc>
        <w:tc>
          <w:tcPr>
            <w:tcW w:w="3669" w:type="dxa"/>
            <w:tcBorders>
              <w:top w:val="single" w:color="auto" w:sz="4" w:space="0"/>
              <w:bottom w:val="nil"/>
            </w:tcBorders>
            <w:noWrap w:val="0"/>
            <w:vAlign w:val="center"/>
          </w:tcPr>
          <w:p w14:paraId="30032A5D">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110kV罗槎线增容改造工程</w:t>
            </w:r>
          </w:p>
        </w:tc>
        <w:tc>
          <w:tcPr>
            <w:tcW w:w="1904" w:type="dxa"/>
            <w:tcBorders>
              <w:bottom w:val="single" w:color="auto" w:sz="4" w:space="0"/>
            </w:tcBorders>
            <w:noWrap w:val="0"/>
            <w:vAlign w:val="center"/>
          </w:tcPr>
          <w:p w14:paraId="026026F7">
            <w:pPr>
              <w:keepNext w:val="0"/>
              <w:keepLines w:val="0"/>
              <w:widowControl/>
              <w:suppressLineNumbers w:val="0"/>
              <w:jc w:val="center"/>
              <w:textAlignment w:val="center"/>
              <w:rPr>
                <w:rFonts w:hint="eastAsia" w:ascii="宋体" w:hAnsi="宋体" w:eastAsia="宋体" w:cs="宋体"/>
                <w:b w:val="0"/>
                <w:bCs w:val="0"/>
                <w:i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70432.00 </w:t>
            </w:r>
          </w:p>
        </w:tc>
        <w:tc>
          <w:tcPr>
            <w:tcW w:w="1258" w:type="dxa"/>
            <w:vMerge w:val="continue"/>
            <w:noWrap w:val="0"/>
            <w:vAlign w:val="center"/>
          </w:tcPr>
          <w:p w14:paraId="0E576935">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1AD0FF82">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nil"/>
            </w:tcBorders>
            <w:noWrap w:val="0"/>
            <w:vAlign w:val="center"/>
          </w:tcPr>
          <w:p w14:paraId="32ED7BDE">
            <w:pPr>
              <w:tabs>
                <w:tab w:val="left" w:pos="900"/>
              </w:tabs>
              <w:snapToGrid w:val="0"/>
              <w:spacing w:before="60" w:after="120"/>
              <w:ind w:right="-24"/>
              <w:jc w:val="center"/>
              <w:rPr>
                <w:rFonts w:ascii="宋体" w:hAnsi="宋体"/>
                <w:color w:val="auto"/>
                <w:highlight w:val="none"/>
              </w:rPr>
            </w:pPr>
          </w:p>
        </w:tc>
      </w:tr>
      <w:tr w14:paraId="5DBC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2A7260F2">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三</w:t>
            </w:r>
          </w:p>
        </w:tc>
        <w:tc>
          <w:tcPr>
            <w:tcW w:w="3669" w:type="dxa"/>
            <w:tcBorders>
              <w:top w:val="single" w:color="auto" w:sz="4" w:space="0"/>
              <w:bottom w:val="single" w:color="auto" w:sz="4" w:space="0"/>
            </w:tcBorders>
            <w:noWrap w:val="0"/>
            <w:vAlign w:val="center"/>
          </w:tcPr>
          <w:p w14:paraId="407E2CA2">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配套通信工程</w:t>
            </w:r>
          </w:p>
        </w:tc>
        <w:tc>
          <w:tcPr>
            <w:tcW w:w="1904" w:type="dxa"/>
            <w:tcBorders>
              <w:bottom w:val="single" w:color="auto" w:sz="4" w:space="0"/>
            </w:tcBorders>
            <w:noWrap w:val="0"/>
            <w:vAlign w:val="center"/>
          </w:tcPr>
          <w:p w14:paraId="5E699C3E">
            <w:pPr>
              <w:keepNext w:val="0"/>
              <w:keepLines w:val="0"/>
              <w:widowControl/>
              <w:suppressLineNumbers w:val="0"/>
              <w:jc w:val="center"/>
              <w:textAlignment w:val="center"/>
              <w:rPr>
                <w:rFonts w:hint="eastAsia" w:ascii="宋体" w:hAnsi="宋体" w:eastAsia="宋体" w:cs="宋体"/>
                <w:b w:val="0"/>
                <w:bCs w:val="0"/>
                <w:i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 xml:space="preserve">21788.43 </w:t>
            </w:r>
          </w:p>
        </w:tc>
        <w:tc>
          <w:tcPr>
            <w:tcW w:w="1258" w:type="dxa"/>
            <w:vMerge w:val="continue"/>
            <w:noWrap w:val="0"/>
            <w:vAlign w:val="center"/>
          </w:tcPr>
          <w:p w14:paraId="1AA7084B">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02DEA531">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363D15C6">
            <w:pPr>
              <w:tabs>
                <w:tab w:val="left" w:pos="900"/>
              </w:tabs>
              <w:snapToGrid w:val="0"/>
              <w:spacing w:before="60" w:after="120"/>
              <w:ind w:right="-24"/>
              <w:jc w:val="center"/>
              <w:rPr>
                <w:rFonts w:ascii="宋体" w:hAnsi="宋体"/>
                <w:color w:val="auto"/>
                <w:highlight w:val="none"/>
              </w:rPr>
            </w:pPr>
          </w:p>
        </w:tc>
      </w:tr>
      <w:tr w14:paraId="7410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5BF81BE1">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669" w:type="dxa"/>
            <w:tcBorders>
              <w:top w:val="single" w:color="auto" w:sz="4" w:space="0"/>
              <w:bottom w:val="single" w:color="auto" w:sz="4" w:space="0"/>
            </w:tcBorders>
            <w:noWrap w:val="0"/>
            <w:vAlign w:val="center"/>
          </w:tcPr>
          <w:p w14:paraId="06E8DA51">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110kV黄金围变电站通信设备工程</w:t>
            </w:r>
          </w:p>
        </w:tc>
        <w:tc>
          <w:tcPr>
            <w:tcW w:w="1904" w:type="dxa"/>
            <w:tcBorders>
              <w:bottom w:val="single" w:color="auto" w:sz="4" w:space="0"/>
            </w:tcBorders>
            <w:noWrap w:val="0"/>
            <w:vAlign w:val="center"/>
          </w:tcPr>
          <w:p w14:paraId="64337299">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15780.28 </w:t>
            </w:r>
          </w:p>
        </w:tc>
        <w:tc>
          <w:tcPr>
            <w:tcW w:w="1258" w:type="dxa"/>
            <w:vMerge w:val="continue"/>
            <w:noWrap w:val="0"/>
            <w:vAlign w:val="center"/>
          </w:tcPr>
          <w:p w14:paraId="4EA0DAD6">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58749BAA">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631E81E1">
            <w:pPr>
              <w:tabs>
                <w:tab w:val="left" w:pos="900"/>
              </w:tabs>
              <w:snapToGrid w:val="0"/>
              <w:spacing w:before="60" w:after="120"/>
              <w:ind w:right="-24"/>
              <w:jc w:val="center"/>
              <w:rPr>
                <w:rFonts w:ascii="宋体" w:hAnsi="宋体"/>
                <w:color w:val="auto"/>
                <w:highlight w:val="none"/>
              </w:rPr>
            </w:pPr>
          </w:p>
        </w:tc>
      </w:tr>
      <w:tr w14:paraId="0831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066B968A">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3669" w:type="dxa"/>
            <w:tcBorders>
              <w:top w:val="single" w:color="auto" w:sz="4" w:space="0"/>
              <w:bottom w:val="single" w:color="auto" w:sz="4" w:space="0"/>
            </w:tcBorders>
            <w:noWrap w:val="0"/>
            <w:vAlign w:val="center"/>
          </w:tcPr>
          <w:p w14:paraId="46034AF4">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110kV黄金围T接罗石线电缆线路工程（配套光缆部分）</w:t>
            </w:r>
          </w:p>
        </w:tc>
        <w:tc>
          <w:tcPr>
            <w:tcW w:w="1904" w:type="dxa"/>
            <w:tcBorders>
              <w:bottom w:val="single" w:color="auto" w:sz="4" w:space="0"/>
            </w:tcBorders>
            <w:noWrap w:val="0"/>
            <w:vAlign w:val="center"/>
          </w:tcPr>
          <w:p w14:paraId="58F293D2">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2534.46 </w:t>
            </w:r>
          </w:p>
        </w:tc>
        <w:tc>
          <w:tcPr>
            <w:tcW w:w="1258" w:type="dxa"/>
            <w:vMerge w:val="continue"/>
            <w:noWrap w:val="0"/>
            <w:vAlign w:val="center"/>
          </w:tcPr>
          <w:p w14:paraId="6BE5EE5E">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74908540">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265EC923">
            <w:pPr>
              <w:tabs>
                <w:tab w:val="left" w:pos="900"/>
              </w:tabs>
              <w:snapToGrid w:val="0"/>
              <w:spacing w:before="60" w:after="120"/>
              <w:ind w:right="-24"/>
              <w:jc w:val="center"/>
              <w:rPr>
                <w:rFonts w:ascii="宋体" w:hAnsi="宋体"/>
                <w:color w:val="auto"/>
                <w:highlight w:val="none"/>
              </w:rPr>
            </w:pPr>
          </w:p>
        </w:tc>
      </w:tr>
      <w:tr w14:paraId="47AD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764E86D3">
            <w:pPr>
              <w:keepNext w:val="0"/>
              <w:keepLines w:val="0"/>
              <w:widowControl/>
              <w:suppressLineNumbers w:val="0"/>
              <w:jc w:val="center"/>
              <w:textAlignment w:val="center"/>
              <w:rPr>
                <w:rFonts w:hint="eastAsia" w:ascii="宋体" w:hAnsi="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3</w:t>
            </w:r>
          </w:p>
        </w:tc>
        <w:tc>
          <w:tcPr>
            <w:tcW w:w="3669" w:type="dxa"/>
            <w:tcBorders>
              <w:top w:val="single" w:color="auto" w:sz="4" w:space="0"/>
              <w:bottom w:val="single" w:color="auto" w:sz="4" w:space="0"/>
            </w:tcBorders>
            <w:noWrap w:val="0"/>
            <w:vAlign w:val="center"/>
          </w:tcPr>
          <w:p w14:paraId="28A36DD5">
            <w:pPr>
              <w:keepNext w:val="0"/>
              <w:keepLines w:val="0"/>
              <w:widowControl/>
              <w:suppressLineNumbers w:val="0"/>
              <w:jc w:val="center"/>
              <w:textAlignment w:val="center"/>
              <w:rPr>
                <w:rFonts w:hint="default" w:ascii="宋体" w:hAnsi="宋体" w:eastAsia="宋体" w:cs="宋体"/>
                <w:b w:val="0"/>
                <w:bCs/>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110kV黄金围T规划石井～滘心电缆线路工程（配套光缆部分）</w:t>
            </w:r>
          </w:p>
        </w:tc>
        <w:tc>
          <w:tcPr>
            <w:tcW w:w="1904" w:type="dxa"/>
            <w:tcBorders>
              <w:bottom w:val="single" w:color="auto" w:sz="4" w:space="0"/>
            </w:tcBorders>
            <w:noWrap w:val="0"/>
            <w:vAlign w:val="center"/>
          </w:tcPr>
          <w:p w14:paraId="7618FA14">
            <w:pPr>
              <w:keepNext w:val="0"/>
              <w:keepLines w:val="0"/>
              <w:widowControl/>
              <w:suppressLineNumbers w:val="0"/>
              <w:jc w:val="center"/>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1274.88 </w:t>
            </w:r>
          </w:p>
        </w:tc>
        <w:tc>
          <w:tcPr>
            <w:tcW w:w="1258" w:type="dxa"/>
            <w:vMerge w:val="continue"/>
            <w:noWrap w:val="0"/>
            <w:vAlign w:val="center"/>
          </w:tcPr>
          <w:p w14:paraId="79EE05AF">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0132AFB7">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2329D3CC">
            <w:pPr>
              <w:tabs>
                <w:tab w:val="left" w:pos="900"/>
              </w:tabs>
              <w:snapToGrid w:val="0"/>
              <w:spacing w:before="60" w:after="120"/>
              <w:ind w:right="-24"/>
              <w:jc w:val="center"/>
              <w:rPr>
                <w:rFonts w:ascii="宋体" w:hAnsi="宋体"/>
                <w:color w:val="auto"/>
                <w:highlight w:val="none"/>
              </w:rPr>
            </w:pPr>
          </w:p>
        </w:tc>
      </w:tr>
      <w:tr w14:paraId="2D24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34" w:type="dxa"/>
            <w:tcBorders>
              <w:top w:val="single" w:color="auto" w:sz="4" w:space="0"/>
              <w:bottom w:val="single" w:color="auto" w:sz="4" w:space="0"/>
            </w:tcBorders>
            <w:noWrap w:val="0"/>
            <w:vAlign w:val="center"/>
          </w:tcPr>
          <w:p w14:paraId="5682645A">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4</w:t>
            </w:r>
          </w:p>
        </w:tc>
        <w:tc>
          <w:tcPr>
            <w:tcW w:w="3669" w:type="dxa"/>
            <w:tcBorders>
              <w:top w:val="single" w:color="auto" w:sz="4" w:space="0"/>
              <w:bottom w:val="single" w:color="auto" w:sz="4" w:space="0"/>
            </w:tcBorders>
            <w:noWrap w:val="0"/>
            <w:vAlign w:val="center"/>
          </w:tcPr>
          <w:p w14:paraId="2AB6A36A">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110kV石井～滘心电缆线路工程（配套光缆部分）</w:t>
            </w:r>
          </w:p>
        </w:tc>
        <w:tc>
          <w:tcPr>
            <w:tcW w:w="1904" w:type="dxa"/>
            <w:tcBorders>
              <w:bottom w:val="single" w:color="auto" w:sz="4" w:space="0"/>
            </w:tcBorders>
            <w:noWrap w:val="0"/>
            <w:vAlign w:val="center"/>
          </w:tcPr>
          <w:p w14:paraId="428AF876">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2198.81 </w:t>
            </w:r>
          </w:p>
        </w:tc>
        <w:tc>
          <w:tcPr>
            <w:tcW w:w="1258" w:type="dxa"/>
            <w:vMerge w:val="continue"/>
            <w:noWrap w:val="0"/>
            <w:vAlign w:val="center"/>
          </w:tcPr>
          <w:p w14:paraId="578669A5">
            <w:pPr>
              <w:tabs>
                <w:tab w:val="left" w:pos="900"/>
              </w:tabs>
              <w:snapToGrid w:val="0"/>
              <w:spacing w:before="60" w:after="120"/>
              <w:ind w:right="-24"/>
              <w:jc w:val="center"/>
              <w:rPr>
                <w:rFonts w:ascii="宋体" w:hAnsi="宋体"/>
                <w:color w:val="auto"/>
                <w:highlight w:val="none"/>
              </w:rPr>
            </w:pPr>
          </w:p>
        </w:tc>
        <w:tc>
          <w:tcPr>
            <w:tcW w:w="1535" w:type="dxa"/>
            <w:tcBorders>
              <w:bottom w:val="single" w:color="auto" w:sz="4" w:space="0"/>
            </w:tcBorders>
            <w:noWrap w:val="0"/>
            <w:vAlign w:val="top"/>
          </w:tcPr>
          <w:p w14:paraId="743556CA">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3DF77948">
            <w:pPr>
              <w:tabs>
                <w:tab w:val="left" w:pos="900"/>
              </w:tabs>
              <w:snapToGrid w:val="0"/>
              <w:spacing w:before="60" w:after="120"/>
              <w:ind w:right="-24"/>
              <w:jc w:val="center"/>
              <w:rPr>
                <w:rFonts w:ascii="宋体" w:hAnsi="宋体"/>
                <w:color w:val="auto"/>
                <w:highlight w:val="none"/>
              </w:rPr>
            </w:pPr>
          </w:p>
        </w:tc>
      </w:tr>
      <w:tr w14:paraId="79813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3" w:type="dxa"/>
            <w:gridSpan w:val="2"/>
            <w:tcBorders>
              <w:top w:val="single" w:color="auto" w:sz="4" w:space="0"/>
              <w:bottom w:val="single" w:color="auto" w:sz="4" w:space="0"/>
            </w:tcBorders>
            <w:noWrap w:val="0"/>
            <w:vAlign w:val="center"/>
          </w:tcPr>
          <w:p w14:paraId="22EA4CBC">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w:t>
            </w:r>
          </w:p>
        </w:tc>
        <w:tc>
          <w:tcPr>
            <w:tcW w:w="1904" w:type="dxa"/>
            <w:tcBorders>
              <w:top w:val="single" w:color="auto" w:sz="4" w:space="0"/>
              <w:bottom w:val="single" w:color="auto" w:sz="4" w:space="0"/>
            </w:tcBorders>
            <w:noWrap w:val="0"/>
            <w:vAlign w:val="center"/>
          </w:tcPr>
          <w:p w14:paraId="40F955BE">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 xml:space="preserve">874915.71 </w:t>
            </w:r>
          </w:p>
        </w:tc>
        <w:tc>
          <w:tcPr>
            <w:tcW w:w="1258" w:type="dxa"/>
            <w:vMerge w:val="continue"/>
            <w:tcBorders>
              <w:bottom w:val="single" w:color="auto" w:sz="4" w:space="0"/>
            </w:tcBorders>
            <w:noWrap w:val="0"/>
            <w:vAlign w:val="center"/>
          </w:tcPr>
          <w:p w14:paraId="6B301F73">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p>
        </w:tc>
        <w:tc>
          <w:tcPr>
            <w:tcW w:w="1535" w:type="dxa"/>
            <w:tcBorders>
              <w:top w:val="single" w:color="auto" w:sz="4" w:space="0"/>
              <w:bottom w:val="single" w:color="auto" w:sz="4" w:space="0"/>
            </w:tcBorders>
            <w:noWrap w:val="0"/>
            <w:vAlign w:val="top"/>
          </w:tcPr>
          <w:p w14:paraId="78603B7B">
            <w:pPr>
              <w:tabs>
                <w:tab w:val="left" w:pos="900"/>
              </w:tabs>
              <w:snapToGrid w:val="0"/>
              <w:spacing w:before="60" w:after="120"/>
              <w:ind w:right="-24"/>
              <w:jc w:val="center"/>
              <w:rPr>
                <w:rFonts w:ascii="宋体" w:hAnsi="宋体"/>
                <w:color w:val="auto"/>
                <w:highlight w:val="none"/>
              </w:rPr>
            </w:pPr>
          </w:p>
        </w:tc>
        <w:tc>
          <w:tcPr>
            <w:tcW w:w="657" w:type="dxa"/>
            <w:tcBorders>
              <w:top w:val="single" w:color="auto" w:sz="4" w:space="0"/>
              <w:bottom w:val="single" w:color="auto" w:sz="4" w:space="0"/>
            </w:tcBorders>
            <w:noWrap w:val="0"/>
            <w:vAlign w:val="center"/>
          </w:tcPr>
          <w:p w14:paraId="7B86C146">
            <w:pPr>
              <w:tabs>
                <w:tab w:val="left" w:pos="900"/>
              </w:tabs>
              <w:snapToGrid w:val="0"/>
              <w:spacing w:before="60" w:after="120"/>
              <w:ind w:right="-24"/>
              <w:jc w:val="center"/>
              <w:rPr>
                <w:rFonts w:ascii="宋体" w:hAnsi="宋体"/>
                <w:color w:val="auto"/>
                <w:highlight w:val="none"/>
              </w:rPr>
            </w:pPr>
          </w:p>
        </w:tc>
      </w:tr>
    </w:tbl>
    <w:p w14:paraId="484E7E1C">
      <w:pPr>
        <w:rPr>
          <w:rFonts w:hint="eastAsia"/>
          <w:highlight w:val="none"/>
          <w:lang w:val="en-US" w:eastAsia="zh-CN"/>
        </w:rPr>
      </w:pPr>
    </w:p>
    <w:p w14:paraId="6D2E7462">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111A804B">
      <w:pPr>
        <w:pStyle w:val="8"/>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 按下浮率报价（保留两位小数，如8.88%），同时填报投标报价（投标报价=最高投标限价*(1-投标下浮率)，四舍五入保留位两位小数)。当投标报价与投标下浮率计算结果不一致时，以投标下浮率为准，按上述公式修订投标报价。</w:t>
      </w:r>
    </w:p>
    <w:p w14:paraId="42F5E83A">
      <w:pPr>
        <w:pStyle w:val="8"/>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投标人所报的下浮率不低于0%为有效报价，下浮率&gt;10%的必须附详细的成本分析报告（成本分析报告需充分说明单价和费用的组成、降低成本的合理措施及在其他工程中应用过的经验，否则视为原则性不响应招标文件要求，作否决投标处理)</w:t>
      </w:r>
    </w:p>
    <w:p w14:paraId="47539ABC">
      <w:pPr>
        <w:pStyle w:val="8"/>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 xml:space="preserve">（3）价格分计算时，投标人评标价按（100-投标人填写的下浮数值）参与计算。如：下浮率为1.88%时，评标价按（100-1.88）参与计算。 </w:t>
      </w:r>
      <w:r>
        <w:rPr>
          <w:rFonts w:hint="eastAsia" w:ascii="宋体" w:hAnsi="宋体" w:eastAsia="宋体" w:cs="宋体"/>
          <w:color w:val="auto"/>
          <w:kern w:val="2"/>
          <w:sz w:val="24"/>
          <w:szCs w:val="24"/>
          <w:highlight w:val="none"/>
          <w:u w:val="single"/>
          <w:lang w:val="en-US" w:eastAsia="zh-CN" w:bidi="ar-SA"/>
        </w:rPr>
        <w:t xml:space="preserve">  </w:t>
      </w:r>
    </w:p>
    <w:p w14:paraId="7D51E6B7">
      <w:pPr>
        <w:rPr>
          <w:rFonts w:hint="eastAsia"/>
          <w:highlight w:val="none"/>
          <w:lang w:val="en-US" w:eastAsia="zh-CN"/>
        </w:rPr>
      </w:pPr>
    </w:p>
    <w:p w14:paraId="3041A89A">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368E6500">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下浮率报价，按实结算。结算监理费=（与合同范围对应的审定初步设计概算监理费+ 初设概算监理计费范围以外的监理工作费用）×（1-投标下浮率）±合同内约定且实际发生的相关奖罚费用 + 招标代理服务费。            </w:t>
      </w:r>
    </w:p>
    <w:p w14:paraId="0220E949">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66064B30">
      <w:pPr>
        <w:pStyle w:val="13"/>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0596BE5E">
      <w:pPr>
        <w:pStyle w:val="13"/>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508D2337">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26F9311C">
      <w:pPr>
        <w:rPr>
          <w:rFonts w:hint="eastAsia" w:ascii="宋体" w:hAnsi="宋体" w:eastAsia="宋体" w:cs="宋体"/>
          <w:color w:val="auto"/>
          <w:kern w:val="2"/>
          <w:sz w:val="24"/>
          <w:szCs w:val="24"/>
          <w:highlight w:val="none"/>
          <w:u w:val="single"/>
          <w:lang w:val="en-US" w:eastAsia="zh-CN" w:bidi="ar-SA"/>
        </w:rPr>
      </w:pPr>
    </w:p>
    <w:p w14:paraId="2409DD3A">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9D4517A">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4A7C3A21">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37AB3E01">
      <w:pPr>
        <w:pStyle w:val="2"/>
        <w:rPr>
          <w:rFonts w:hint="eastAsia" w:asciiTheme="minorEastAsia" w:hAnsiTheme="minorEastAsia" w:eastAsiaTheme="minorEastAsia" w:cstheme="minorEastAsia"/>
          <w:i w:val="0"/>
          <w:iCs/>
          <w:color w:val="auto"/>
          <w:sz w:val="24"/>
          <w:szCs w:val="24"/>
          <w:highlight w:val="none"/>
        </w:rPr>
      </w:pPr>
    </w:p>
    <w:p w14:paraId="028381F6">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58A94BBD">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7F576928">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45566E40">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9971A7A">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5D61365B">
      <w:pPr>
        <w:pStyle w:val="2"/>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23B3A3D">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22EBBAAD">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61EDA6E5">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56430A9E">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BC13E3E">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4B21FE0E">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44DF3BCB">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0D0C9E7C">
      <w:pPr>
        <w:pStyle w:val="2"/>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6C3493C7">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4A526F05">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w:t>
      </w:r>
      <w:r>
        <w:rPr>
          <w:rFonts w:hint="eastAsia"/>
          <w:color w:val="auto"/>
          <w:sz w:val="24"/>
          <w:szCs w:val="24"/>
          <w:highlight w:val="none"/>
        </w:rPr>
        <w:t>。</w:t>
      </w:r>
    </w:p>
    <w:p w14:paraId="54B4E659">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346EA51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4A65A51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（1）工程项目建议书；</w:t>
      </w:r>
    </w:p>
    <w:p w14:paraId="19AF7AB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（2）工程项目批复文件；</w:t>
      </w:r>
    </w:p>
    <w:p w14:paraId="01C3E82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（3）工程前期有关文件（可研及初设审批文件）；</w:t>
      </w:r>
    </w:p>
    <w:p w14:paraId="7D47716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（4）质量控制、造价控制、进度控制、安全生产管理、合同管理、信息管理、组织协调目标；</w:t>
      </w:r>
    </w:p>
    <w:p w14:paraId="6C87B32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（5）南网质量验评标准；</w:t>
      </w:r>
    </w:p>
    <w:p w14:paraId="6808DA18">
      <w:pPr>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（6）有关设计文件及资料。</w:t>
      </w:r>
      <w:bookmarkStart w:id="8" w:name="_GoBack"/>
      <w:bookmarkEnd w:id="8"/>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306F">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C4B44">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2C4B44">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19726A7"/>
    <w:rsid w:val="034C42F7"/>
    <w:rsid w:val="03F1316B"/>
    <w:rsid w:val="04A24F71"/>
    <w:rsid w:val="064918B1"/>
    <w:rsid w:val="076F3B3B"/>
    <w:rsid w:val="07CA37DF"/>
    <w:rsid w:val="07CC3833"/>
    <w:rsid w:val="0B3F3C9B"/>
    <w:rsid w:val="0BC07002"/>
    <w:rsid w:val="0BD30473"/>
    <w:rsid w:val="0E2F4C02"/>
    <w:rsid w:val="0E3616E0"/>
    <w:rsid w:val="0E937FF7"/>
    <w:rsid w:val="0F81532F"/>
    <w:rsid w:val="107144D2"/>
    <w:rsid w:val="116419AD"/>
    <w:rsid w:val="11794537"/>
    <w:rsid w:val="11DF6CFE"/>
    <w:rsid w:val="13383335"/>
    <w:rsid w:val="14440D4B"/>
    <w:rsid w:val="14B666F3"/>
    <w:rsid w:val="15056A61"/>
    <w:rsid w:val="17F67D40"/>
    <w:rsid w:val="182633AB"/>
    <w:rsid w:val="18BE559C"/>
    <w:rsid w:val="18E57496"/>
    <w:rsid w:val="19EC69D7"/>
    <w:rsid w:val="1A2D5CFF"/>
    <w:rsid w:val="1A386933"/>
    <w:rsid w:val="1A4F176B"/>
    <w:rsid w:val="1A912F72"/>
    <w:rsid w:val="1B663F82"/>
    <w:rsid w:val="1C2D4629"/>
    <w:rsid w:val="1C43636C"/>
    <w:rsid w:val="1D904223"/>
    <w:rsid w:val="1F653C49"/>
    <w:rsid w:val="1F6C0D31"/>
    <w:rsid w:val="1FBE7EE4"/>
    <w:rsid w:val="1FF914D4"/>
    <w:rsid w:val="20735046"/>
    <w:rsid w:val="20816D89"/>
    <w:rsid w:val="216F4D5B"/>
    <w:rsid w:val="21FA2A73"/>
    <w:rsid w:val="23B738BA"/>
    <w:rsid w:val="248361F7"/>
    <w:rsid w:val="24E67795"/>
    <w:rsid w:val="24F737D8"/>
    <w:rsid w:val="25100685"/>
    <w:rsid w:val="25C33080"/>
    <w:rsid w:val="26A73075"/>
    <w:rsid w:val="2CA17C08"/>
    <w:rsid w:val="2DDF66E3"/>
    <w:rsid w:val="2FDE77A9"/>
    <w:rsid w:val="2FF65FF8"/>
    <w:rsid w:val="300D195C"/>
    <w:rsid w:val="30BF37B5"/>
    <w:rsid w:val="31C955A9"/>
    <w:rsid w:val="33B200AF"/>
    <w:rsid w:val="33E61BE2"/>
    <w:rsid w:val="361736AD"/>
    <w:rsid w:val="36D200CF"/>
    <w:rsid w:val="379951F8"/>
    <w:rsid w:val="38382DC3"/>
    <w:rsid w:val="38DE045C"/>
    <w:rsid w:val="3A546240"/>
    <w:rsid w:val="3BF24D81"/>
    <w:rsid w:val="3BFE7BEA"/>
    <w:rsid w:val="3C4750A3"/>
    <w:rsid w:val="3C4A35F1"/>
    <w:rsid w:val="3E664B6D"/>
    <w:rsid w:val="3ED7087B"/>
    <w:rsid w:val="3F141BFC"/>
    <w:rsid w:val="444D481C"/>
    <w:rsid w:val="44982260"/>
    <w:rsid w:val="44D414C9"/>
    <w:rsid w:val="46472D5E"/>
    <w:rsid w:val="496A657E"/>
    <w:rsid w:val="49843C09"/>
    <w:rsid w:val="4B3A1BDA"/>
    <w:rsid w:val="4BF83760"/>
    <w:rsid w:val="4C8349B8"/>
    <w:rsid w:val="4C985623"/>
    <w:rsid w:val="4EB367E5"/>
    <w:rsid w:val="4F8A05C8"/>
    <w:rsid w:val="520D4DAB"/>
    <w:rsid w:val="520D6E5F"/>
    <w:rsid w:val="53115540"/>
    <w:rsid w:val="554C40C3"/>
    <w:rsid w:val="55C3156A"/>
    <w:rsid w:val="5782183A"/>
    <w:rsid w:val="57BD355E"/>
    <w:rsid w:val="59A5419F"/>
    <w:rsid w:val="5B0320E2"/>
    <w:rsid w:val="5B8B11A7"/>
    <w:rsid w:val="5B9E2EC4"/>
    <w:rsid w:val="608606DE"/>
    <w:rsid w:val="610E324A"/>
    <w:rsid w:val="61F31EFD"/>
    <w:rsid w:val="63066BC7"/>
    <w:rsid w:val="63D0487B"/>
    <w:rsid w:val="64672037"/>
    <w:rsid w:val="64911DA0"/>
    <w:rsid w:val="65945D8D"/>
    <w:rsid w:val="66C35559"/>
    <w:rsid w:val="67D57489"/>
    <w:rsid w:val="68570F93"/>
    <w:rsid w:val="6A287B5E"/>
    <w:rsid w:val="6B303A1A"/>
    <w:rsid w:val="6DAA2FDF"/>
    <w:rsid w:val="6E121228"/>
    <w:rsid w:val="6FC971BF"/>
    <w:rsid w:val="70D1495F"/>
    <w:rsid w:val="70ED510D"/>
    <w:rsid w:val="71342534"/>
    <w:rsid w:val="74695E39"/>
    <w:rsid w:val="754C6F3B"/>
    <w:rsid w:val="75B11AFF"/>
    <w:rsid w:val="75D32619"/>
    <w:rsid w:val="765369C1"/>
    <w:rsid w:val="767D6887"/>
    <w:rsid w:val="780B6A75"/>
    <w:rsid w:val="79F83E18"/>
    <w:rsid w:val="7A262145"/>
    <w:rsid w:val="7A281F3A"/>
    <w:rsid w:val="7A9343F5"/>
    <w:rsid w:val="7B672225"/>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正文首行缩进1"/>
    <w:basedOn w:val="1"/>
    <w:qFormat/>
    <w:uiPriority w:val="0"/>
    <w:pPr>
      <w:spacing w:line="360" w:lineRule="auto"/>
      <w:ind w:firstLine="200" w:firstLineChars="200"/>
    </w:pPr>
    <w:rPr>
      <w:kern w:val="2"/>
      <w:sz w:val="24"/>
      <w:szCs w:val="24"/>
    </w:rPr>
  </w:style>
  <w:style w:type="character" w:customStyle="1" w:styleId="19">
    <w:name w:val="font3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2649</Words>
  <Characters>3154</Characters>
  <Lines>0</Lines>
  <Paragraphs>0</Paragraphs>
  <TotalTime>0</TotalTime>
  <ScaleCrop>false</ScaleCrop>
  <LinksUpToDate>false</LinksUpToDate>
  <CharactersWithSpaces>3483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2025-10-28T07:21:22Z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0FC967818C7B4D848059EEF1E9FF4DEB</vt:lpwstr>
  </property>
  <property fmtid="{D5CDD505-2E9C-101B-9397-08002B2CF9AE}" pid="4" name="KSOTemplateDocerSaveRecord">
    <vt:lpwstr>eyJoZGlkIjoiNGQxZGUyZmQ5MDU5MjhiNzUxNWY4N2Q0ZGU2Y2VhOTgiLCJ1c2VySWQiOiI3MDM5OTYzMzMifQ==</vt:lpwstr>
  </property>
</Properties>
</file>